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73" w:rsidRPr="00E22467" w:rsidRDefault="00C30873" w:rsidP="00C30873">
      <w:pPr>
        <w:pStyle w:val="ConsPlusNormal"/>
        <w:widowControl/>
        <w:tabs>
          <w:tab w:val="left" w:pos="960"/>
        </w:tabs>
        <w:ind w:firstLine="540"/>
        <w:jc w:val="center"/>
        <w:rPr>
          <w:rFonts w:ascii="Times New Roman" w:hAnsi="Times New Roman" w:cs="Times New Roman"/>
          <w:sz w:val="30"/>
          <w:szCs w:val="30"/>
        </w:rPr>
      </w:pPr>
      <w:bookmarkStart w:id="0" w:name="_GoBack"/>
      <w:bookmarkEnd w:id="0"/>
      <w:r w:rsidRPr="00E22467">
        <w:rPr>
          <w:rFonts w:ascii="Times New Roman" w:hAnsi="Times New Roman" w:cs="Times New Roman"/>
          <w:sz w:val="30"/>
          <w:szCs w:val="30"/>
        </w:rPr>
        <w:t>Перечень документов для участия в конкурсном отборе</w:t>
      </w:r>
    </w:p>
    <w:p w:rsidR="00C30873" w:rsidRDefault="00C30873" w:rsidP="00C30873">
      <w:pPr>
        <w:pStyle w:val="ConsPlusNormal"/>
        <w:widowControl/>
        <w:tabs>
          <w:tab w:val="left" w:pos="960"/>
        </w:tabs>
        <w:ind w:firstLine="540"/>
        <w:jc w:val="center"/>
        <w:rPr>
          <w:rFonts w:ascii="Times New Roman" w:hAnsi="Times New Roman" w:cs="Times New Roman"/>
          <w:sz w:val="30"/>
          <w:szCs w:val="30"/>
        </w:rPr>
      </w:pPr>
      <w:r w:rsidRPr="008244FA">
        <w:rPr>
          <w:rFonts w:ascii="Times New Roman" w:hAnsi="Times New Roman" w:cs="Times New Roman"/>
          <w:sz w:val="30"/>
          <w:szCs w:val="30"/>
        </w:rPr>
        <w:t xml:space="preserve">для получения государственной поддержки по Указу Президента Республики Башкортостан от 25 мая 2009 года №УП-263 </w:t>
      </w:r>
      <w:r>
        <w:rPr>
          <w:rFonts w:ascii="Times New Roman" w:hAnsi="Times New Roman" w:cs="Times New Roman"/>
          <w:sz w:val="30"/>
          <w:szCs w:val="30"/>
        </w:rPr>
        <w:br/>
      </w:r>
      <w:r w:rsidRPr="008244FA">
        <w:rPr>
          <w:rFonts w:ascii="Times New Roman" w:hAnsi="Times New Roman" w:cs="Times New Roman"/>
          <w:sz w:val="30"/>
          <w:szCs w:val="30"/>
        </w:rPr>
        <w:t>«О мерах государственной поддержки кадрового потенциала агропромышленного комплекса Республики Башкортостан».</w:t>
      </w:r>
    </w:p>
    <w:p w:rsidR="00C30873" w:rsidRPr="008244FA" w:rsidRDefault="00C30873" w:rsidP="00C30873">
      <w:pPr>
        <w:pStyle w:val="ConsPlusNormal"/>
        <w:widowControl/>
        <w:tabs>
          <w:tab w:val="left" w:pos="960"/>
        </w:tabs>
        <w:ind w:firstLine="540"/>
        <w:jc w:val="center"/>
        <w:rPr>
          <w:rFonts w:ascii="Times New Roman" w:hAnsi="Times New Roman" w:cs="Times New Roman"/>
          <w:sz w:val="30"/>
          <w:szCs w:val="30"/>
        </w:rPr>
      </w:pPr>
    </w:p>
    <w:tbl>
      <w:tblPr>
        <w:tblpPr w:leftFromText="180" w:rightFromText="180" w:vertAnchor="text" w:horzAnchor="margin" w:tblpXSpec="center" w:tblpY="6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35"/>
        <w:gridCol w:w="8877"/>
      </w:tblGrid>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а</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C30873">
            <w:pPr>
              <w:ind w:left="180"/>
            </w:pPr>
            <w:r>
              <w:t xml:space="preserve">Заявление </w:t>
            </w:r>
            <w:r w:rsidR="00C30873" w:rsidRPr="00C30873">
              <w:t>руководителя организации АПК на предоставление субсидий на единовременные выплаты молодым специалистам</w:t>
            </w:r>
            <w:r w:rsidR="00C30873">
              <w:t xml:space="preserve"> (форма прилагается)</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б</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C30873">
            <w:pPr>
              <w:ind w:left="180"/>
            </w:pPr>
            <w:r>
              <w:t>Выписка</w:t>
            </w:r>
            <w:r w:rsidR="00C30873" w:rsidRPr="00C30873">
              <w:t xml:space="preserve"> из Единого государственного реестра юридических лиц или выписки из Единого государственного реестра индивидуальных предпринимателей</w:t>
            </w:r>
            <w:r>
              <w:t xml:space="preserve"> (на любую майскую дату)</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в</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F6485B" w:rsidRDefault="00C30873" w:rsidP="00C30873">
            <w:pPr>
              <w:ind w:left="180"/>
            </w:pPr>
            <w:r w:rsidRPr="00C30873">
              <w:t>Письменно</w:t>
            </w:r>
            <w:r w:rsidR="00714B10">
              <w:t>е согласие</w:t>
            </w:r>
            <w:r w:rsidRPr="00C30873">
              <w:t xml:space="preserve"> молодого специалиста на передачу и обработку </w:t>
            </w:r>
          </w:p>
          <w:p w:rsidR="00C30873" w:rsidRPr="00C30873" w:rsidRDefault="00C30873" w:rsidP="00C30873">
            <w:pPr>
              <w:ind w:left="180"/>
            </w:pPr>
            <w:r w:rsidRPr="00C30873">
              <w:t>его персональных данных в соответствии с законодательством Российской Федерации</w:t>
            </w:r>
            <w:r>
              <w:t xml:space="preserve"> (форма прилагается)</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г</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C30873">
            <w:pPr>
              <w:ind w:left="180"/>
            </w:pPr>
            <w:r>
              <w:t>Копия</w:t>
            </w:r>
            <w:r w:rsidR="00C30873" w:rsidRPr="00C30873">
              <w:t xml:space="preserve"> трудового договора, заключенного между молодым специалистом и организацией АПК</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д</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FC154B">
            <w:pPr>
              <w:ind w:left="180"/>
            </w:pPr>
            <w:r>
              <w:t>Выписка</w:t>
            </w:r>
            <w:r w:rsidR="00C30873" w:rsidRPr="00C30873">
              <w:t xml:space="preserve"> из приказа о приеме на работу</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е</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FC154B">
            <w:pPr>
              <w:ind w:left="180"/>
            </w:pPr>
            <w:r>
              <w:t>Копия</w:t>
            </w:r>
            <w:r w:rsidR="00C30873" w:rsidRPr="00C30873">
              <w:t xml:space="preserve"> диплома о высшем (среднем) профессиональном образовании молодого специалиста</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ж</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FC154B">
            <w:pPr>
              <w:ind w:left="180"/>
            </w:pPr>
            <w:r>
              <w:t>Справка</w:t>
            </w:r>
            <w:r w:rsidR="00C30873" w:rsidRPr="00C30873">
              <w:t xml:space="preserve"> о трудовом стаже молодого специалиста</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з</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FC154B">
            <w:pPr>
              <w:ind w:left="180"/>
            </w:pPr>
            <w:r>
              <w:t>Копия</w:t>
            </w:r>
            <w:r w:rsidR="00C30873" w:rsidRPr="00C30873">
              <w:t xml:space="preserve"> военного билета молодого специалиста (для военнообязанных)</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и</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725C74" w:rsidRDefault="00725C74" w:rsidP="00725C74">
            <w:pPr>
              <w:ind w:left="180"/>
            </w:pPr>
            <w:r>
              <w:rPr>
                <w:color w:val="000000"/>
              </w:rPr>
              <w:t>С</w:t>
            </w:r>
            <w:r w:rsidRPr="00725C74">
              <w:rPr>
                <w:color w:val="000000"/>
              </w:rPr>
              <w:t>правка налогового органа об исполнении заемщиком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не ранее 30 рабочих дней до даты заключения Соглашения</w:t>
            </w:r>
          </w:p>
        </w:tc>
      </w:tr>
      <w:tr w:rsidR="00C30873" w:rsidRPr="00C30873" w:rsidTr="00C30873">
        <w:trPr>
          <w:trHeight w:val="535"/>
        </w:trPr>
        <w:tc>
          <w:tcPr>
            <w:tcW w:w="566" w:type="dxa"/>
          </w:tcPr>
          <w:p w:rsidR="00C30873" w:rsidRPr="00C30873" w:rsidRDefault="00C30873" w:rsidP="00C30873">
            <w:pPr>
              <w:pStyle w:val="ConsPlusNormal"/>
              <w:tabs>
                <w:tab w:val="left" w:pos="851"/>
              </w:tabs>
              <w:ind w:left="142" w:firstLine="0"/>
              <w:jc w:val="both"/>
              <w:rPr>
                <w:rFonts w:ascii="Times New Roman" w:hAnsi="Times New Roman" w:cs="Times New Roman"/>
                <w:sz w:val="24"/>
                <w:szCs w:val="24"/>
              </w:rPr>
            </w:pPr>
            <w:r w:rsidRPr="00C30873">
              <w:rPr>
                <w:rFonts w:ascii="Times New Roman" w:hAnsi="Times New Roman" w:cs="Times New Roman"/>
                <w:sz w:val="24"/>
                <w:szCs w:val="24"/>
              </w:rPr>
              <w:t>к</w:t>
            </w:r>
          </w:p>
          <w:p w:rsidR="00C30873" w:rsidRPr="00C30873" w:rsidRDefault="00C30873" w:rsidP="00C30873">
            <w:pPr>
              <w:pStyle w:val="ConsPlusNormal"/>
              <w:widowControl/>
              <w:ind w:left="142" w:firstLine="0"/>
              <w:jc w:val="both"/>
              <w:rPr>
                <w:rFonts w:ascii="Times New Roman" w:hAnsi="Times New Roman" w:cs="Times New Roman"/>
                <w:sz w:val="24"/>
                <w:szCs w:val="24"/>
              </w:rPr>
            </w:pP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C30873">
            <w:pPr>
              <w:ind w:left="180"/>
            </w:pPr>
            <w:r>
              <w:t>План</w:t>
            </w:r>
            <w:r w:rsidR="00C30873" w:rsidRPr="00C30873">
              <w:t xml:space="preserve"> расходов на цели, указанные в подпункте "б" пункта 5 порядка предоставления государственной поддержки кадровому потенциалу агропромышленного комплекса Республики Башкортостан  - финансовое обеспечение затрат на выплаты единовременного пособия молодым специалистам в соответствии с Указом Главы Республики Башкортостан</w:t>
            </w:r>
            <w:r>
              <w:t xml:space="preserve"> (форма прилагается)</w:t>
            </w:r>
          </w:p>
        </w:tc>
      </w:tr>
      <w:tr w:rsidR="00C30873" w:rsidRPr="00C30873" w:rsidTr="00C30873">
        <w:trPr>
          <w:trHeight w:val="535"/>
        </w:trPr>
        <w:tc>
          <w:tcPr>
            <w:tcW w:w="566" w:type="dxa"/>
          </w:tcPr>
          <w:p w:rsidR="00C30873" w:rsidRPr="00C30873" w:rsidRDefault="00C30873" w:rsidP="00C30873">
            <w:pPr>
              <w:pStyle w:val="ConsPlusNormal"/>
              <w:widowControl/>
              <w:ind w:left="142" w:firstLine="0"/>
              <w:jc w:val="both"/>
              <w:rPr>
                <w:rFonts w:ascii="Times New Roman" w:hAnsi="Times New Roman" w:cs="Times New Roman"/>
                <w:sz w:val="24"/>
                <w:szCs w:val="24"/>
              </w:rPr>
            </w:pPr>
            <w:r w:rsidRPr="00C30873">
              <w:rPr>
                <w:rFonts w:ascii="Times New Roman" w:hAnsi="Times New Roman" w:cs="Times New Roman"/>
                <w:sz w:val="24"/>
                <w:szCs w:val="24"/>
              </w:rPr>
              <w:t>л</w:t>
            </w:r>
          </w:p>
        </w:tc>
        <w:tc>
          <w:tcPr>
            <w:tcW w:w="535" w:type="dxa"/>
            <w:vAlign w:val="center"/>
          </w:tcPr>
          <w:p w:rsidR="00C30873" w:rsidRPr="00C30873" w:rsidRDefault="00C30873" w:rsidP="00FC154B">
            <w:pPr>
              <w:pStyle w:val="ConsPlusNormal"/>
              <w:widowControl/>
              <w:ind w:firstLine="0"/>
              <w:jc w:val="center"/>
              <w:rPr>
                <w:rFonts w:ascii="Times New Roman" w:hAnsi="Times New Roman" w:cs="Times New Roman"/>
                <w:sz w:val="24"/>
                <w:szCs w:val="24"/>
              </w:rPr>
            </w:pPr>
            <w:r w:rsidRPr="00C30873">
              <w:rPr>
                <w:rFonts w:ascii="Times New Roman" w:hAnsi="Times New Roman" w:cs="Times New Roman"/>
                <w:sz w:val="24"/>
                <w:szCs w:val="24"/>
              </w:rPr>
              <w:t>-</w:t>
            </w:r>
          </w:p>
        </w:tc>
        <w:tc>
          <w:tcPr>
            <w:tcW w:w="8877" w:type="dxa"/>
            <w:shd w:val="clear" w:color="auto" w:fill="auto"/>
          </w:tcPr>
          <w:p w:rsidR="00C30873" w:rsidRPr="00C30873" w:rsidRDefault="00714B10" w:rsidP="00FC154B">
            <w:pPr>
              <w:ind w:left="180"/>
            </w:pPr>
            <w:r>
              <w:t>План</w:t>
            </w:r>
            <w:r w:rsidR="00C30873" w:rsidRPr="00C30873">
              <w:t xml:space="preserve"> обеспечения финансово-экономической устойчивости на среднесрочную перспективу по форме, утвержденной Министерством</w:t>
            </w:r>
            <w:r>
              <w:t xml:space="preserve"> (форма прилагается)</w:t>
            </w:r>
          </w:p>
        </w:tc>
      </w:tr>
    </w:tbl>
    <w:p w:rsidR="00C30873" w:rsidRDefault="00C30873" w:rsidP="00C30873">
      <w:pPr>
        <w:pStyle w:val="ConsPlusNormal"/>
        <w:widowControl/>
        <w:tabs>
          <w:tab w:val="left" w:pos="851"/>
        </w:tabs>
        <w:ind w:left="-720" w:firstLine="540"/>
        <w:jc w:val="both"/>
        <w:rPr>
          <w:rFonts w:ascii="Times New Roman" w:hAnsi="Times New Roman" w:cs="Times New Roman"/>
          <w:sz w:val="30"/>
          <w:szCs w:val="30"/>
        </w:rPr>
      </w:pPr>
    </w:p>
    <w:p w:rsidR="00C30873" w:rsidRDefault="00C30873" w:rsidP="00C30873">
      <w:pPr>
        <w:pStyle w:val="ConsPlusNormal"/>
        <w:widowControl/>
        <w:tabs>
          <w:tab w:val="left" w:pos="851"/>
        </w:tabs>
        <w:ind w:left="-720" w:firstLine="540"/>
        <w:jc w:val="both"/>
        <w:rPr>
          <w:rFonts w:ascii="Times New Roman" w:hAnsi="Times New Roman" w:cs="Times New Roman"/>
          <w:sz w:val="30"/>
          <w:szCs w:val="30"/>
        </w:rPr>
      </w:pPr>
      <w:r>
        <w:rPr>
          <w:rFonts w:ascii="Times New Roman" w:hAnsi="Times New Roman" w:cs="Times New Roman"/>
          <w:sz w:val="30"/>
          <w:szCs w:val="30"/>
        </w:rPr>
        <w:t>Дополнительно необходимо представить:</w:t>
      </w:r>
    </w:p>
    <w:p w:rsidR="00C30873" w:rsidRDefault="00C30873" w:rsidP="00C30873">
      <w:pPr>
        <w:pStyle w:val="ConsPlusNormal"/>
        <w:widowControl/>
        <w:ind w:left="-720" w:firstLine="540"/>
        <w:jc w:val="both"/>
        <w:rPr>
          <w:rFonts w:ascii="Times New Roman" w:hAnsi="Times New Roman" w:cs="Times New Roman"/>
          <w:sz w:val="30"/>
          <w:szCs w:val="30"/>
        </w:rPr>
      </w:pPr>
    </w:p>
    <w:p w:rsidR="00714B10" w:rsidRDefault="00C30873" w:rsidP="00714B10">
      <w:pPr>
        <w:pStyle w:val="ConsPlusNormal"/>
        <w:widowControl/>
        <w:numPr>
          <w:ilvl w:val="0"/>
          <w:numId w:val="1"/>
        </w:numPr>
        <w:tabs>
          <w:tab w:val="left" w:pos="284"/>
        </w:tabs>
        <w:ind w:left="-709" w:firstLine="567"/>
        <w:jc w:val="both"/>
        <w:rPr>
          <w:rFonts w:ascii="Times New Roman" w:hAnsi="Times New Roman" w:cs="Times New Roman"/>
          <w:sz w:val="30"/>
          <w:szCs w:val="30"/>
        </w:rPr>
      </w:pPr>
      <w:r>
        <w:rPr>
          <w:rFonts w:ascii="Times New Roman" w:hAnsi="Times New Roman" w:cs="Times New Roman"/>
          <w:sz w:val="30"/>
          <w:szCs w:val="30"/>
        </w:rPr>
        <w:t xml:space="preserve">Соглашение </w:t>
      </w:r>
      <w:r w:rsidR="00714B10">
        <w:rPr>
          <w:rFonts w:ascii="Times New Roman" w:hAnsi="Times New Roman" w:cs="Times New Roman"/>
          <w:sz w:val="30"/>
          <w:szCs w:val="30"/>
        </w:rPr>
        <w:t xml:space="preserve">(3-х стороннее) </w:t>
      </w:r>
      <w:r>
        <w:rPr>
          <w:rFonts w:ascii="Times New Roman" w:hAnsi="Times New Roman" w:cs="Times New Roman"/>
          <w:sz w:val="30"/>
          <w:szCs w:val="30"/>
        </w:rPr>
        <w:t>в 3 экз., подписанное руководителем организ</w:t>
      </w:r>
      <w:r w:rsidR="00714B10">
        <w:rPr>
          <w:rFonts w:ascii="Times New Roman" w:hAnsi="Times New Roman" w:cs="Times New Roman"/>
          <w:sz w:val="30"/>
          <w:szCs w:val="30"/>
        </w:rPr>
        <w:t>ации АПК и Молодым специалистом</w:t>
      </w:r>
      <w:r>
        <w:rPr>
          <w:rFonts w:ascii="Times New Roman" w:hAnsi="Times New Roman" w:cs="Times New Roman"/>
          <w:sz w:val="30"/>
          <w:szCs w:val="30"/>
        </w:rPr>
        <w:t xml:space="preserve"> </w:t>
      </w:r>
    </w:p>
    <w:p w:rsidR="00714B10" w:rsidRDefault="00714B10" w:rsidP="00714B10">
      <w:pPr>
        <w:pStyle w:val="ConsPlusNormal"/>
        <w:widowControl/>
        <w:numPr>
          <w:ilvl w:val="0"/>
          <w:numId w:val="1"/>
        </w:numPr>
        <w:tabs>
          <w:tab w:val="left" w:pos="284"/>
        </w:tabs>
        <w:ind w:left="-709" w:firstLine="567"/>
        <w:jc w:val="both"/>
        <w:rPr>
          <w:rFonts w:ascii="Times New Roman" w:hAnsi="Times New Roman" w:cs="Times New Roman"/>
          <w:sz w:val="30"/>
          <w:szCs w:val="30"/>
        </w:rPr>
      </w:pPr>
      <w:r w:rsidRPr="00714B10">
        <w:rPr>
          <w:rFonts w:ascii="Times New Roman" w:hAnsi="Times New Roman" w:cs="Times New Roman"/>
          <w:sz w:val="30"/>
          <w:szCs w:val="30"/>
        </w:rPr>
        <w:t>Соглашение (2-х стороннее) в 2 экз., подписанное руководителем организации</w:t>
      </w:r>
    </w:p>
    <w:p w:rsidR="00714B10" w:rsidRDefault="00C30873" w:rsidP="00714B10">
      <w:pPr>
        <w:pStyle w:val="ConsPlusNormal"/>
        <w:widowControl/>
        <w:numPr>
          <w:ilvl w:val="0"/>
          <w:numId w:val="1"/>
        </w:numPr>
        <w:tabs>
          <w:tab w:val="left" w:pos="284"/>
        </w:tabs>
        <w:ind w:left="-709" w:firstLine="567"/>
        <w:jc w:val="both"/>
        <w:rPr>
          <w:rFonts w:ascii="Times New Roman" w:hAnsi="Times New Roman" w:cs="Times New Roman"/>
          <w:sz w:val="30"/>
          <w:szCs w:val="30"/>
        </w:rPr>
      </w:pPr>
      <w:r w:rsidRPr="00714B10">
        <w:rPr>
          <w:rFonts w:ascii="Times New Roman" w:hAnsi="Times New Roman" w:cs="Times New Roman"/>
          <w:sz w:val="30"/>
          <w:szCs w:val="30"/>
        </w:rPr>
        <w:t>Заявление с реквизитами органи</w:t>
      </w:r>
      <w:r w:rsidR="00714B10">
        <w:rPr>
          <w:rFonts w:ascii="Times New Roman" w:hAnsi="Times New Roman" w:cs="Times New Roman"/>
          <w:sz w:val="30"/>
          <w:szCs w:val="30"/>
        </w:rPr>
        <w:t>зации АПК и электронным адресом</w:t>
      </w:r>
      <w:r w:rsidRPr="00714B10">
        <w:rPr>
          <w:rFonts w:ascii="Times New Roman" w:hAnsi="Times New Roman" w:cs="Times New Roman"/>
          <w:sz w:val="30"/>
          <w:szCs w:val="30"/>
        </w:rPr>
        <w:t xml:space="preserve"> для обратной связи </w:t>
      </w:r>
    </w:p>
    <w:p w:rsidR="00714B10" w:rsidRDefault="00C30873" w:rsidP="00714B10">
      <w:pPr>
        <w:pStyle w:val="ConsPlusNormal"/>
        <w:widowControl/>
        <w:numPr>
          <w:ilvl w:val="0"/>
          <w:numId w:val="1"/>
        </w:numPr>
        <w:tabs>
          <w:tab w:val="left" w:pos="284"/>
        </w:tabs>
        <w:ind w:left="-709" w:firstLine="567"/>
        <w:jc w:val="both"/>
        <w:rPr>
          <w:rFonts w:ascii="Times New Roman" w:hAnsi="Times New Roman" w:cs="Times New Roman"/>
          <w:sz w:val="30"/>
          <w:szCs w:val="30"/>
        </w:rPr>
      </w:pPr>
      <w:proofErr w:type="gramStart"/>
      <w:r w:rsidRPr="00714B10">
        <w:rPr>
          <w:rFonts w:ascii="Times New Roman" w:hAnsi="Times New Roman" w:cs="Times New Roman"/>
          <w:sz w:val="28"/>
          <w:szCs w:val="28"/>
        </w:rPr>
        <w:t>Справка-расчет о причитающихся в 201</w:t>
      </w:r>
      <w:r w:rsidR="00714B10">
        <w:rPr>
          <w:rFonts w:ascii="Times New Roman" w:hAnsi="Times New Roman" w:cs="Times New Roman"/>
          <w:sz w:val="28"/>
          <w:szCs w:val="28"/>
        </w:rPr>
        <w:t>8</w:t>
      </w:r>
      <w:r w:rsidRPr="00714B10">
        <w:rPr>
          <w:rFonts w:ascii="Times New Roman" w:hAnsi="Times New Roman" w:cs="Times New Roman"/>
          <w:sz w:val="28"/>
          <w:szCs w:val="28"/>
        </w:rPr>
        <w:t xml:space="preserve"> году суммах государственной поддержки организаций АПК на единовременное пособие молодым специалистам в 2 экз.</w:t>
      </w:r>
      <w:r w:rsidR="00714B10">
        <w:rPr>
          <w:rFonts w:ascii="Times New Roman" w:hAnsi="Times New Roman" w:cs="Times New Roman"/>
          <w:sz w:val="28"/>
          <w:szCs w:val="28"/>
        </w:rPr>
        <w:t xml:space="preserve"> (нужно вместить справку-расчет на одну!!</w:t>
      </w:r>
      <w:proofErr w:type="gramEnd"/>
      <w:r w:rsidR="00714B10">
        <w:rPr>
          <w:rFonts w:ascii="Times New Roman" w:hAnsi="Times New Roman" w:cs="Times New Roman"/>
          <w:sz w:val="28"/>
          <w:szCs w:val="28"/>
        </w:rPr>
        <w:t xml:space="preserve"> </w:t>
      </w:r>
      <w:proofErr w:type="gramStart"/>
      <w:r w:rsidR="00714B10">
        <w:rPr>
          <w:rFonts w:ascii="Times New Roman" w:hAnsi="Times New Roman" w:cs="Times New Roman"/>
          <w:sz w:val="28"/>
          <w:szCs w:val="28"/>
        </w:rPr>
        <w:t>Страницу, подписи не переносить!!)</w:t>
      </w:r>
      <w:proofErr w:type="gramEnd"/>
    </w:p>
    <w:p w:rsidR="00C30873" w:rsidRPr="00714B10" w:rsidRDefault="00C30873" w:rsidP="00714B10">
      <w:pPr>
        <w:pStyle w:val="ConsPlusNormal"/>
        <w:widowControl/>
        <w:numPr>
          <w:ilvl w:val="0"/>
          <w:numId w:val="1"/>
        </w:numPr>
        <w:tabs>
          <w:tab w:val="left" w:pos="284"/>
        </w:tabs>
        <w:ind w:left="-709" w:firstLine="567"/>
        <w:jc w:val="both"/>
        <w:rPr>
          <w:rFonts w:ascii="Times New Roman" w:hAnsi="Times New Roman" w:cs="Times New Roman"/>
          <w:sz w:val="30"/>
          <w:szCs w:val="30"/>
        </w:rPr>
      </w:pPr>
      <w:r w:rsidRPr="00714B10">
        <w:rPr>
          <w:rFonts w:ascii="Times New Roman" w:hAnsi="Times New Roman" w:cs="Times New Roman"/>
          <w:sz w:val="30"/>
          <w:szCs w:val="30"/>
        </w:rPr>
        <w:lastRenderedPageBreak/>
        <w:t>Справочная информация</w:t>
      </w:r>
      <w:r w:rsidR="00714B10">
        <w:rPr>
          <w:rFonts w:ascii="Times New Roman" w:hAnsi="Times New Roman" w:cs="Times New Roman"/>
          <w:sz w:val="30"/>
          <w:szCs w:val="30"/>
        </w:rPr>
        <w:t xml:space="preserve"> о деятельности организаций АПК, </w:t>
      </w:r>
      <w:r w:rsidRPr="00714B10">
        <w:rPr>
          <w:rFonts w:ascii="Times New Roman" w:hAnsi="Times New Roman" w:cs="Times New Roman"/>
          <w:sz w:val="30"/>
          <w:szCs w:val="30"/>
        </w:rPr>
        <w:t>претендующих на государственную поддержку кадрового потенциала АПК РБ</w:t>
      </w:r>
    </w:p>
    <w:p w:rsidR="00AE3CFA" w:rsidRDefault="00714B10" w:rsidP="00C30873">
      <w:pPr>
        <w:pStyle w:val="ConsPlusNormal"/>
        <w:widowControl/>
        <w:tabs>
          <w:tab w:val="left" w:pos="851"/>
        </w:tabs>
        <w:ind w:left="-709" w:firstLine="567"/>
        <w:jc w:val="both"/>
        <w:rPr>
          <w:rFonts w:ascii="Times New Roman" w:hAnsi="Times New Roman" w:cs="Times New Roman"/>
          <w:sz w:val="30"/>
          <w:szCs w:val="30"/>
        </w:rPr>
      </w:pPr>
      <w:r>
        <w:rPr>
          <w:rFonts w:ascii="Times New Roman" w:hAnsi="Times New Roman" w:cs="Times New Roman"/>
          <w:sz w:val="30"/>
          <w:szCs w:val="30"/>
        </w:rPr>
        <w:t>Организации АПК, претендующие на получение субсидии не должны иметь задолженности по возвратам в бюджеты всех уровней в св</w:t>
      </w:r>
      <w:r w:rsidR="00AE3CFA">
        <w:rPr>
          <w:rFonts w:ascii="Times New Roman" w:hAnsi="Times New Roman" w:cs="Times New Roman"/>
          <w:sz w:val="30"/>
          <w:szCs w:val="30"/>
        </w:rPr>
        <w:t xml:space="preserve">язи с </w:t>
      </w:r>
      <w:proofErr w:type="spellStart"/>
      <w:r w:rsidR="00AE3CFA">
        <w:rPr>
          <w:rFonts w:ascii="Times New Roman" w:hAnsi="Times New Roman" w:cs="Times New Roman"/>
          <w:sz w:val="30"/>
          <w:szCs w:val="30"/>
        </w:rPr>
        <w:t>недостижением</w:t>
      </w:r>
      <w:proofErr w:type="spellEnd"/>
      <w:r w:rsidR="00AE3CFA">
        <w:rPr>
          <w:rFonts w:ascii="Times New Roman" w:hAnsi="Times New Roman" w:cs="Times New Roman"/>
          <w:sz w:val="30"/>
          <w:szCs w:val="30"/>
        </w:rPr>
        <w:t xml:space="preserve"> показателей результативности</w:t>
      </w:r>
      <w:r>
        <w:rPr>
          <w:rFonts w:ascii="Times New Roman" w:hAnsi="Times New Roman" w:cs="Times New Roman"/>
          <w:sz w:val="30"/>
          <w:szCs w:val="30"/>
        </w:rPr>
        <w:t xml:space="preserve">. Актуальную информацию </w:t>
      </w:r>
      <w:r w:rsidR="00AE3CFA">
        <w:rPr>
          <w:rFonts w:ascii="Times New Roman" w:hAnsi="Times New Roman" w:cs="Times New Roman"/>
          <w:sz w:val="30"/>
          <w:szCs w:val="30"/>
        </w:rPr>
        <w:t xml:space="preserve">о наличии задолженности можно получить у </w:t>
      </w:r>
      <w:proofErr w:type="spellStart"/>
      <w:r w:rsidR="00AE3CFA">
        <w:rPr>
          <w:rFonts w:ascii="Times New Roman" w:hAnsi="Times New Roman" w:cs="Times New Roman"/>
          <w:sz w:val="30"/>
          <w:szCs w:val="30"/>
        </w:rPr>
        <w:t>Шангареевой</w:t>
      </w:r>
      <w:proofErr w:type="spellEnd"/>
      <w:r w:rsidR="00AE3CFA">
        <w:rPr>
          <w:rFonts w:ascii="Times New Roman" w:hAnsi="Times New Roman" w:cs="Times New Roman"/>
          <w:sz w:val="30"/>
          <w:szCs w:val="30"/>
        </w:rPr>
        <w:t xml:space="preserve"> Динары </w:t>
      </w:r>
      <w:proofErr w:type="spellStart"/>
      <w:r w:rsidR="00AE3CFA">
        <w:rPr>
          <w:rFonts w:ascii="Times New Roman" w:hAnsi="Times New Roman" w:cs="Times New Roman"/>
          <w:sz w:val="30"/>
          <w:szCs w:val="30"/>
        </w:rPr>
        <w:t>Ильфатовны</w:t>
      </w:r>
      <w:proofErr w:type="spellEnd"/>
      <w:r w:rsidR="00AE3CFA">
        <w:rPr>
          <w:rFonts w:ascii="Times New Roman" w:hAnsi="Times New Roman" w:cs="Times New Roman"/>
          <w:sz w:val="30"/>
          <w:szCs w:val="30"/>
        </w:rPr>
        <w:t>, т.218-06-22.</w:t>
      </w:r>
    </w:p>
    <w:p w:rsidR="00C30873" w:rsidRDefault="00C30873" w:rsidP="00C30873">
      <w:pPr>
        <w:pStyle w:val="ConsPlusNormal"/>
        <w:widowControl/>
        <w:tabs>
          <w:tab w:val="left" w:pos="851"/>
        </w:tabs>
        <w:ind w:left="-709" w:firstLine="567"/>
        <w:jc w:val="both"/>
        <w:rPr>
          <w:rFonts w:ascii="Times New Roman" w:hAnsi="Times New Roman" w:cs="Times New Roman"/>
          <w:sz w:val="30"/>
          <w:szCs w:val="30"/>
        </w:rPr>
      </w:pPr>
      <w:proofErr w:type="gramStart"/>
      <w:r>
        <w:rPr>
          <w:rFonts w:ascii="Times New Roman" w:hAnsi="Times New Roman" w:cs="Times New Roman"/>
          <w:sz w:val="30"/>
          <w:szCs w:val="30"/>
        </w:rPr>
        <w:t>Копии документов, представляемые в Министерство должны быть надлежащим образом заверены</w:t>
      </w:r>
      <w:proofErr w:type="gramEnd"/>
      <w:r>
        <w:rPr>
          <w:rFonts w:ascii="Times New Roman" w:hAnsi="Times New Roman" w:cs="Times New Roman"/>
          <w:sz w:val="30"/>
          <w:szCs w:val="30"/>
        </w:rPr>
        <w:t>.</w:t>
      </w:r>
    </w:p>
    <w:p w:rsidR="00C30873" w:rsidRPr="007E1D9B" w:rsidRDefault="00C30873" w:rsidP="00C30873">
      <w:pPr>
        <w:pStyle w:val="ConsPlusNormal"/>
        <w:widowControl/>
        <w:tabs>
          <w:tab w:val="left" w:pos="851"/>
        </w:tabs>
        <w:ind w:left="-720" w:firstLine="540"/>
        <w:jc w:val="both"/>
        <w:rPr>
          <w:rFonts w:ascii="Times New Roman" w:hAnsi="Times New Roman" w:cs="Times New Roman"/>
          <w:sz w:val="28"/>
          <w:szCs w:val="28"/>
        </w:rPr>
      </w:pPr>
      <w:r w:rsidRPr="007E1D9B">
        <w:rPr>
          <w:rFonts w:ascii="Times New Roman" w:hAnsi="Times New Roman" w:cs="Times New Roman"/>
          <w:sz w:val="28"/>
          <w:szCs w:val="28"/>
        </w:rPr>
        <w:t>Организации АПК несут ответственность за достоверность и своевременность подачи документов.</w:t>
      </w:r>
    </w:p>
    <w:p w:rsidR="00C30873" w:rsidRDefault="00C30873" w:rsidP="00C30873">
      <w:pPr>
        <w:ind w:left="-720" w:firstLine="540"/>
        <w:jc w:val="both"/>
        <w:rPr>
          <w:sz w:val="20"/>
          <w:szCs w:val="20"/>
        </w:rPr>
      </w:pPr>
    </w:p>
    <w:p w:rsidR="00C30873" w:rsidRDefault="00C30873" w:rsidP="00C30873">
      <w:pPr>
        <w:ind w:left="-720" w:firstLine="540"/>
        <w:jc w:val="both"/>
        <w:rPr>
          <w:sz w:val="20"/>
          <w:szCs w:val="20"/>
        </w:rPr>
      </w:pPr>
    </w:p>
    <w:p w:rsidR="00C30873" w:rsidRDefault="00C30873" w:rsidP="00C30873">
      <w:pPr>
        <w:ind w:left="5400"/>
        <w:rPr>
          <w:sz w:val="30"/>
          <w:szCs w:val="30"/>
        </w:rPr>
      </w:pPr>
    </w:p>
    <w:p w:rsidR="00E44988" w:rsidRDefault="00E44988"/>
    <w:sectPr w:rsidR="00E44988" w:rsidSect="00C3087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6A8C"/>
    <w:multiLevelType w:val="hybridMultilevel"/>
    <w:tmpl w:val="ACACB75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1E"/>
    <w:rsid w:val="00714B10"/>
    <w:rsid w:val="00725C74"/>
    <w:rsid w:val="00AE3CFA"/>
    <w:rsid w:val="00C30873"/>
    <w:rsid w:val="00E44988"/>
    <w:rsid w:val="00F6485B"/>
    <w:rsid w:val="00F9574A"/>
    <w:rsid w:val="00FC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Кадыров Эльдар Меметович</dc:creator>
  <cp:lastModifiedBy>Кадыров Эльдар Меметович</cp:lastModifiedBy>
  <cp:revision>2</cp:revision>
  <dcterms:created xsi:type="dcterms:W3CDTF">2018-05-07T07:25:00Z</dcterms:created>
  <dcterms:modified xsi:type="dcterms:W3CDTF">2018-05-07T07:25:00Z</dcterms:modified>
</cp:coreProperties>
</file>